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val="en-US" w:eastAsia="zh-CN"/>
        </w:rPr>
      </w:pPr>
      <w:r>
        <w:rPr>
          <w:rFonts w:hint="eastAsia"/>
        </w:rPr>
        <w:t>科室：</w:t>
      </w:r>
      <w:r>
        <w:rPr>
          <w:rFonts w:hint="eastAsia"/>
          <w:lang w:val="en-US" w:eastAsia="zh-CN"/>
        </w:rPr>
        <w:t>儿童保健科（护理）</w:t>
      </w:r>
      <w:bookmarkStart w:id="0" w:name="_GoBack"/>
      <w:bookmarkEnd w:id="0"/>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3458"/>
        <w:gridCol w:w="3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52" w:hRule="atLeast"/>
        </w:trPr>
        <w:tc>
          <w:tcPr>
            <w:tcW w:w="1605" w:type="dxa"/>
          </w:tcPr>
          <w:p>
            <w:pPr>
              <w:rPr>
                <w:b/>
                <w:bCs/>
              </w:rPr>
            </w:pPr>
            <w:r>
              <w:rPr>
                <w:rFonts w:hint="eastAsia"/>
                <w:b/>
                <w:bCs/>
              </w:rPr>
              <w:t>招收专业/亚专业（如有多个亚专业请另加一行填写）</w:t>
            </w:r>
          </w:p>
        </w:tc>
        <w:tc>
          <w:tcPr>
            <w:tcW w:w="6917" w:type="dxa"/>
            <w:gridSpan w:val="2"/>
          </w:tcPr>
          <w:p>
            <w:pPr>
              <w:ind w:firstLine="420" w:firstLineChars="200"/>
            </w:pPr>
            <w:r>
              <w:t>儿童保健、儿童发育行为、儿童心理行为、儿童早期发展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75" w:hRule="atLeast"/>
        </w:trPr>
        <w:tc>
          <w:tcPr>
            <w:tcW w:w="1605" w:type="dxa"/>
          </w:tcPr>
          <w:p>
            <w:pPr>
              <w:rPr>
                <w:b/>
                <w:bCs/>
              </w:rPr>
            </w:pPr>
            <w:r>
              <w:rPr>
                <w:rFonts w:hint="eastAsia"/>
                <w:b/>
                <w:bCs/>
              </w:rPr>
              <w:t>进修生资格要求</w:t>
            </w:r>
          </w:p>
        </w:tc>
        <w:tc>
          <w:tcPr>
            <w:tcW w:w="6917" w:type="dxa"/>
            <w:gridSpan w:val="2"/>
          </w:tcPr>
          <w:p>
            <w:pPr>
              <w:ind w:firstLine="420" w:firstLineChars="200"/>
            </w:pPr>
            <w:r>
              <w:rPr>
                <w:rFonts w:hint="eastAsia"/>
              </w:rPr>
              <w:t>执业护士资格，有儿科、儿童保健科、儿童群体保健、儿童公卫管理等相关工作经验。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8" w:hRule="atLeast"/>
        </w:trPr>
        <w:tc>
          <w:tcPr>
            <w:tcW w:w="1605" w:type="dxa"/>
          </w:tcPr>
          <w:p>
            <w:pPr>
              <w:rPr>
                <w:b/>
                <w:bCs/>
              </w:rPr>
            </w:pPr>
            <w:r>
              <w:rPr>
                <w:rFonts w:hint="eastAsia"/>
                <w:b/>
                <w:bCs/>
              </w:rPr>
              <w:t>科室介绍</w:t>
            </w:r>
          </w:p>
        </w:tc>
        <w:tc>
          <w:tcPr>
            <w:tcW w:w="6917" w:type="dxa"/>
            <w:gridSpan w:val="2"/>
          </w:tcPr>
          <w:p>
            <w:pPr>
              <w:ind w:firstLine="420" w:firstLineChars="200"/>
              <w:rPr>
                <w:rFonts w:hint="eastAsia"/>
              </w:rPr>
            </w:pPr>
            <w:r>
              <w:rPr>
                <w:rFonts w:hint="eastAsia"/>
              </w:rPr>
              <w:t>四川省妇幼保健院儿童保健科是四川省第一家国家级儿童早期发展示范基地，中国妇幼保健院协会儿童生长发育与健康促进项目示范基地，四川省医学重点学科。</w:t>
            </w:r>
          </w:p>
          <w:p>
            <w:pPr>
              <w:ind w:firstLine="420" w:firstLineChars="200"/>
              <w:rPr>
                <w:rFonts w:hint="eastAsia"/>
              </w:rPr>
            </w:pPr>
            <w:r>
              <w:rPr>
                <w:rFonts w:hint="eastAsia"/>
              </w:rPr>
              <w:t>儿童保健科包括儿保科医师、精神科医师、中医师、护师、幼师、心理治疗师、康复技师等多学科的人才，截止202</w:t>
            </w:r>
            <w:r>
              <w:t>5</w:t>
            </w:r>
            <w:r>
              <w:rPr>
                <w:rFonts w:hint="eastAsia"/>
              </w:rPr>
              <w:t>年底共有在职医护人员</w:t>
            </w:r>
            <w:r>
              <w:t>43</w:t>
            </w:r>
            <w:r>
              <w:rPr>
                <w:rFonts w:hint="eastAsia"/>
              </w:rPr>
              <w:t>人，其中正高级职称</w:t>
            </w:r>
            <w:r>
              <w:t>4</w:t>
            </w:r>
            <w:r>
              <w:rPr>
                <w:rFonts w:hint="eastAsia"/>
              </w:rPr>
              <w:t>人，副高级职称</w:t>
            </w:r>
            <w:r>
              <w:t>10</w:t>
            </w:r>
            <w:r>
              <w:rPr>
                <w:rFonts w:hint="eastAsia"/>
              </w:rPr>
              <w:t>人；具有医学硕士学位医1</w:t>
            </w:r>
            <w:r>
              <w:t>6</w:t>
            </w:r>
            <w:r>
              <w:rPr>
                <w:rFonts w:hint="eastAsia"/>
              </w:rPr>
              <w:t>人；硕士生导师3人。</w:t>
            </w:r>
          </w:p>
          <w:p>
            <w:pPr>
              <w:ind w:firstLine="420" w:firstLineChars="200"/>
              <w:rPr>
                <w:rFonts w:hint="eastAsia"/>
              </w:rPr>
            </w:pPr>
            <w:r>
              <w:rPr>
                <w:rFonts w:hint="eastAsia"/>
              </w:rPr>
              <w:t>作为全省儿童保健中心，儿童保健科通过妇幼保健三级网络、网站、各种培训班、学术交流等方式，向省内外医疗妇幼保健机构及基层妇幼保健人员推广儿童早期发展适宜技术，常年选派业务骨干到地、市、州及少数民族地区进行帮扶及业务指导，充分发挥了对全省儿童保健工作的引领示范作用。</w:t>
            </w:r>
          </w:p>
          <w:p>
            <w:pPr>
              <w:ind w:firstLine="420" w:firstLineChars="200"/>
            </w:pPr>
            <w:r>
              <w:rPr>
                <w:rFonts w:hint="eastAsia"/>
              </w:rPr>
              <w:t xml:space="preserve">科室秉承“关爱儿童，呵护健康”的理念，竭诚为广大儿童提供优质的、个体化的儿童保健服务，促进儿童早期发展，呵护孩子们的身心健康。 </w:t>
            </w:r>
            <w:r>
              <w:t xml:space="preserve">   </w:t>
            </w:r>
            <w:r>
              <w:rPr>
                <w:rFonts w:hint="eastAsia"/>
              </w:rPr>
              <w:t>随着我科室服务对象的改变，高危儿干预的服务人次逐年增加。高危儿干预的服务队伍逐年庞大，不断派出高危儿干预服务人员先后到中国康复医院、浙江省儿童医院、等进行进修学习国内外先进的高危儿管理与早期干预理念与技能，以提高早期干预的服务质量及早期干预的疗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20" w:hRule="atLeast"/>
        </w:trPr>
        <w:tc>
          <w:tcPr>
            <w:tcW w:w="1605" w:type="dxa"/>
            <w:shd w:val="clear" w:color="auto" w:fill="auto"/>
          </w:tcPr>
          <w:p>
            <w:pPr>
              <w:rPr>
                <w:b/>
                <w:bCs/>
              </w:rPr>
            </w:pPr>
            <w:r>
              <w:rPr>
                <w:rFonts w:hint="eastAsia"/>
                <w:b/>
                <w:bCs/>
              </w:rPr>
              <w:t>科室诊疗特色</w:t>
            </w:r>
          </w:p>
        </w:tc>
        <w:tc>
          <w:tcPr>
            <w:tcW w:w="6917" w:type="dxa"/>
            <w:gridSpan w:val="2"/>
          </w:tcPr>
          <w:p>
            <w:pPr>
              <w:ind w:firstLine="420" w:firstLineChars="200"/>
              <w:rPr>
                <w:rFonts w:hint="eastAsia"/>
              </w:rPr>
            </w:pPr>
            <w:r>
              <w:rPr>
                <w:rFonts w:hint="eastAsia"/>
              </w:rPr>
              <w:t>科室开设儿童普通保健、儿童生长发育、儿童营养与喂养、发育行为儿科、儿童早期发展、儿童早期干预康复等多个特色亚专科，进行高危儿系统随访与早期干预、营养代谢性疾病防治、发育性行为问题疾病的筛查与干预等临床工作。在儿童生长发育疾病、孤独症谱系障碍早期诊断与干预、注意缺陷多动障碍诊治等领域居于省内领先水平，在儿童营养与喂养、生长发育促进、高危儿管理、发育偏离早期干预等领域特色优势明显。科室不断探索适合全省的儿童保健服务模式，专科建设得到了长足的发展。</w:t>
            </w:r>
          </w:p>
          <w:p>
            <w:r>
              <w:rPr>
                <w:rFonts w:hint="eastAsia"/>
              </w:rPr>
              <w:t>科室设施设备先进，配置有双能骨密度检测仪、IVA测试系统（注意力视听整合连续测试系统）、脑电生物反馈治疗仪、人体成分分析仪、经颅磁治疗仪等，开展了格里菲斯认知发育评估（Griffiths）、PEP-3（自闭症儿童心理教育评核）、TIMP（婴儿运动表现测试）、韦氏智力量表（第四版）、Gesell发育诊断量表等多种心理行为发育和认知能力评估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58" w:hRule="atLeast"/>
        </w:trPr>
        <w:tc>
          <w:tcPr>
            <w:tcW w:w="1605" w:type="dxa"/>
            <w:shd w:val="clear" w:color="auto" w:fill="auto"/>
          </w:tcPr>
          <w:p>
            <w:pPr>
              <w:rPr>
                <w:b/>
                <w:bCs/>
              </w:rPr>
            </w:pPr>
            <w:r>
              <w:rPr>
                <w:rFonts w:hint="eastAsia"/>
                <w:b/>
                <w:bCs/>
              </w:rPr>
              <w:t>科室教学、科研特色</w:t>
            </w:r>
          </w:p>
        </w:tc>
        <w:tc>
          <w:tcPr>
            <w:tcW w:w="6917" w:type="dxa"/>
            <w:gridSpan w:val="2"/>
          </w:tcPr>
          <w:p>
            <w:pPr>
              <w:ind w:firstLine="420" w:firstLineChars="200"/>
            </w:pPr>
            <w:r>
              <w:rPr>
                <w:rFonts w:hint="eastAsia"/>
              </w:rPr>
              <w:t>科室承担国家及省级科研课题6项，发表核心期刊文章20篇，拥有实用新型专利4项，其中参加的中国妇幼保健中心的《儿童睡眠模式及相关健康问题的预防策略和关键技术研究》获全国妇幼健康科技技术二等奖。</w:t>
            </w:r>
          </w:p>
          <w:p>
            <w:pPr>
              <w:pStyle w:val="2"/>
              <w:rPr>
                <w:rFonts w:hint="eastAsia"/>
              </w:rPr>
            </w:pPr>
            <w:r>
              <w:rPr>
                <w:rFonts w:hint="eastAsia"/>
              </w:rPr>
              <w:t xml:space="preserve"> </w:t>
            </w:r>
            <w:r>
              <w:t xml:space="preserve">   </w:t>
            </w:r>
            <w:r>
              <w:rPr>
                <w:rFonts w:hint="eastAsia"/>
              </w:rPr>
              <w:t>近三年带教研究生7名，作为成都医学院的儿童保健教研室，每年组织了成都医学院儿童保健教研室的《儿童保健学》、《发育行为儿科学》的授课及大纲修订、教学计划安排，落实见习带教工作共计120个学时。每年约有进修生</w:t>
            </w:r>
            <w:r>
              <w:t>6</w:t>
            </w:r>
            <w:r>
              <w:rPr>
                <w:rFonts w:hint="eastAsia"/>
              </w:rPr>
              <w:t>0余名，规培生10-15名、实习生20余人。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trPr>
        <w:tc>
          <w:tcPr>
            <w:tcW w:w="1605" w:type="dxa"/>
            <w:vAlign w:val="center"/>
          </w:tcPr>
          <w:p>
            <w:r>
              <w:rPr>
                <w:b/>
                <w:bCs/>
              </w:rPr>
              <w:t>教学课程设置</w:t>
            </w:r>
          </w:p>
        </w:tc>
        <w:tc>
          <w:tcPr>
            <w:tcW w:w="3458" w:type="dxa"/>
            <w:vAlign w:val="center"/>
          </w:tcPr>
          <w:p>
            <w:pPr>
              <w:jc w:val="center"/>
              <w:rPr>
                <w:b/>
                <w:bCs/>
              </w:rPr>
            </w:pPr>
            <w:r>
              <w:rPr>
                <w:rFonts w:hint="eastAsia"/>
                <w:b/>
                <w:bCs/>
              </w:rPr>
              <w:t>课程内容</w:t>
            </w:r>
          </w:p>
        </w:tc>
        <w:tc>
          <w:tcPr>
            <w:tcW w:w="3459" w:type="dxa"/>
            <w:shd w:val="clear" w:color="auto" w:fill="auto"/>
            <w:vAlign w:val="center"/>
          </w:tcPr>
          <w:p>
            <w:pPr>
              <w:jc w:val="center"/>
            </w:pPr>
            <w:r>
              <w:rPr>
                <w:rFonts w:hint="eastAsia"/>
                <w:b/>
                <w:bCs/>
              </w:rPr>
              <w:t>教学要点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4" w:hRule="atLeast"/>
        </w:trPr>
        <w:tc>
          <w:tcPr>
            <w:tcW w:w="1605" w:type="dxa"/>
            <w:vAlign w:val="center"/>
          </w:tcPr>
          <w:p>
            <w:pPr>
              <w:jc w:val="center"/>
              <w:rPr>
                <w:b/>
                <w:bCs/>
              </w:rPr>
            </w:pPr>
            <w:r>
              <w:rPr>
                <w:rFonts w:hint="eastAsia"/>
                <w:color w:val="7F7F7F" w:themeColor="background1" w:themeShade="80"/>
              </w:rPr>
              <w:t>理论课程/操作课程/临床实习</w:t>
            </w:r>
          </w:p>
        </w:tc>
        <w:tc>
          <w:tcPr>
            <w:tcW w:w="3458" w:type="dxa"/>
            <w:shd w:val="clear" w:color="auto" w:fill="auto"/>
            <w:vAlign w:val="center"/>
          </w:tcPr>
          <w:p>
            <w:pPr>
              <w:keepNext w:val="0"/>
              <w:keepLines w:val="0"/>
              <w:widowControl/>
              <w:numPr>
                <w:ilvl w:val="0"/>
                <w:numId w:val="1"/>
              </w:numPr>
              <w:suppressLineNumbers w:val="0"/>
              <w:jc w:val="left"/>
              <w:textAlignment w:val="cente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掌握手卫生，熟悉标准预防的措施</w:t>
            </w:r>
          </w:p>
          <w:p>
            <w:pPr>
              <w:keepNext w:val="0"/>
              <w:keepLines w:val="0"/>
              <w:widowControl/>
              <w:numPr>
                <w:ilvl w:val="0"/>
                <w:numId w:val="1"/>
              </w:numPr>
              <w:suppressLineNumbers w:val="0"/>
              <w:jc w:val="left"/>
              <w:textAlignment w:val="center"/>
              <w:rPr>
                <w:rFonts w:hint="eastAsia" w:asciiTheme="minorEastAsia" w:hAnsiTheme="minorEastAsia" w:eastAsiaTheme="minorEastAsia" w:cstheme="minorEastAsia"/>
                <w:i w:val="0"/>
                <w:iCs w:val="0"/>
                <w:color w:val="000000" w:themeColor="text1"/>
                <w:kern w:val="2"/>
                <w:sz w:val="22"/>
                <w:szCs w:val="22"/>
                <w:u w:val="none"/>
                <w:lang w:val="en-US" w:eastAsia="zh-CN" w:bidi="ar-SA"/>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2"/>
                <w:szCs w:val="22"/>
                <w:u w:val="none"/>
                <w:lang w:val="en-US" w:eastAsia="zh-CN" w:bidi="ar"/>
                <w14:textFill>
                  <w14:solidFill>
                    <w14:schemeClr w14:val="tx1"/>
                  </w14:solidFill>
                </w14:textFill>
              </w:rPr>
              <w:t>掌握</w:t>
            </w:r>
            <w:r>
              <w:rPr>
                <w:rFonts w:hint="eastAsia" w:asciiTheme="minorEastAsia" w:hAnsiTheme="minorEastAsia" w:eastAsiaTheme="minorEastAsia" w:cstheme="minorEastAsia"/>
                <w:i w:val="0"/>
                <w:iCs w:val="0"/>
                <w:color w:val="000000" w:themeColor="text1"/>
                <w:sz w:val="22"/>
                <w:szCs w:val="22"/>
                <w:u w:val="none"/>
                <w:lang w:eastAsia="zh-CN"/>
                <w14:textFill>
                  <w14:solidFill>
                    <w14:schemeClr w14:val="tx1"/>
                  </w14:solidFill>
                </w14:textFill>
              </w:rPr>
              <w:t>婴</w:t>
            </w:r>
            <w:r>
              <w:rPr>
                <w:rFonts w:hint="eastAsia" w:asciiTheme="minorEastAsia" w:hAnsiTheme="minorEastAsia" w:eastAsiaTheme="minorEastAsia" w:cstheme="minorEastAsia"/>
                <w:i w:val="0"/>
                <w:iCs w:val="0"/>
                <w:color w:val="000000" w:themeColor="text1"/>
                <w:sz w:val="22"/>
                <w:szCs w:val="22"/>
                <w:u w:val="none"/>
                <w:lang w:val="en-US" w:eastAsia="zh-CN"/>
                <w14:textFill>
                  <w14:solidFill>
                    <w14:schemeClr w14:val="tx1"/>
                  </w14:solidFill>
                </w14:textFill>
              </w:rPr>
              <w:t>儿</w:t>
            </w:r>
            <w:r>
              <w:rPr>
                <w:rFonts w:hint="eastAsia" w:asciiTheme="minorEastAsia" w:hAnsiTheme="minorEastAsia" w:eastAsiaTheme="minorEastAsia" w:cstheme="minorEastAsia"/>
                <w:i w:val="0"/>
                <w:iCs w:val="0"/>
                <w:color w:val="000000" w:themeColor="text1"/>
                <w:sz w:val="22"/>
                <w:szCs w:val="22"/>
                <w:u w:val="none"/>
                <w:lang w:eastAsia="zh-CN"/>
                <w14:textFill>
                  <w14:solidFill>
                    <w14:schemeClr w14:val="tx1"/>
                  </w14:solidFill>
                </w14:textFill>
              </w:rPr>
              <w:t>智能体检仪的使用</w:t>
            </w:r>
          </w:p>
          <w:p>
            <w:pPr>
              <w:keepNext w:val="0"/>
              <w:keepLines w:val="0"/>
              <w:widowControl/>
              <w:numPr>
                <w:ilvl w:val="0"/>
                <w:numId w:val="1"/>
              </w:numPr>
              <w:suppressLineNumbers w:val="0"/>
              <w:jc w:val="left"/>
              <w:textAlignment w:val="center"/>
              <w:rPr>
                <w:rFonts w:hint="eastAsia" w:asciiTheme="minorEastAsia" w:hAnsiTheme="minorEastAsia" w:eastAsiaTheme="minorEastAsia" w:cstheme="minorEastAsia"/>
                <w:i w:val="0"/>
                <w:iCs w:val="0"/>
                <w:color w:val="000000" w:themeColor="text1"/>
                <w:kern w:val="2"/>
                <w:sz w:val="22"/>
                <w:szCs w:val="22"/>
                <w:u w:val="none"/>
                <w:lang w:val="en-US" w:eastAsia="zh-CN" w:bidi="ar-SA"/>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lang w:val="en-US" w:eastAsia="zh-CN"/>
                <w14:textFill>
                  <w14:solidFill>
                    <w14:schemeClr w14:val="tx1"/>
                  </w14:solidFill>
                </w14:textFill>
              </w:rPr>
              <w:t>掌握</w:t>
            </w:r>
            <w:r>
              <w:rPr>
                <w:rFonts w:hint="eastAsia" w:asciiTheme="minorEastAsia" w:hAnsiTheme="minorEastAsia" w:eastAsiaTheme="minorEastAsia" w:cstheme="minorEastAsia"/>
                <w:i w:val="0"/>
                <w:iCs w:val="0"/>
                <w:color w:val="000000" w:themeColor="text1"/>
                <w:sz w:val="22"/>
                <w:szCs w:val="22"/>
                <w:u w:val="none"/>
                <w:lang w:eastAsia="zh-CN"/>
                <w14:textFill>
                  <w14:solidFill>
                    <w14:schemeClr w14:val="tx1"/>
                  </w14:solidFill>
                </w14:textFill>
              </w:rPr>
              <w:t>伟伦双目视力筛查仪的使用流程及异常读数的处理</w:t>
            </w:r>
          </w:p>
          <w:p>
            <w:pPr>
              <w:keepNext w:val="0"/>
              <w:keepLines w:val="0"/>
              <w:widowControl/>
              <w:numPr>
                <w:ilvl w:val="0"/>
                <w:numId w:val="1"/>
              </w:numPr>
              <w:suppressLineNumbers w:val="0"/>
              <w:jc w:val="left"/>
              <w:textAlignment w:val="center"/>
              <w:rPr>
                <w:rFonts w:hint="eastAsia" w:asciiTheme="minorEastAsia" w:hAnsiTheme="minorEastAsia" w:eastAsiaTheme="minorEastAsia" w:cstheme="minorEastAsia"/>
                <w:i w:val="0"/>
                <w:iCs w:val="0"/>
                <w:color w:val="000000" w:themeColor="text1"/>
                <w:kern w:val="2"/>
                <w:sz w:val="22"/>
                <w:szCs w:val="22"/>
                <w:u w:val="none"/>
                <w:lang w:val="en-US" w:eastAsia="zh-CN" w:bidi="ar-SA"/>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lang w:eastAsia="zh-CN"/>
                <w14:textFill>
                  <w14:solidFill>
                    <w14:schemeClr w14:val="tx1"/>
                  </w14:solidFill>
                </w14:textFill>
              </w:rPr>
              <w:t>熟悉骨密度测定仪操作流程</w:t>
            </w:r>
          </w:p>
          <w:p>
            <w:pPr>
              <w:keepNext w:val="0"/>
              <w:keepLines w:val="0"/>
              <w:widowControl/>
              <w:numPr>
                <w:ilvl w:val="0"/>
                <w:numId w:val="1"/>
              </w:numPr>
              <w:suppressLineNumbers w:val="0"/>
              <w:jc w:val="left"/>
              <w:textAlignment w:val="center"/>
              <w:rPr>
                <w:rFonts w:hint="eastAsia" w:asciiTheme="minorEastAsia" w:hAnsiTheme="minorEastAsia" w:eastAsiaTheme="minorEastAsia" w:cstheme="minorEastAsia"/>
                <w:i w:val="0"/>
                <w:iCs w:val="0"/>
                <w:color w:val="000000" w:themeColor="text1"/>
                <w:kern w:val="2"/>
                <w:sz w:val="22"/>
                <w:szCs w:val="22"/>
                <w:u w:val="none"/>
                <w:lang w:val="en-US" w:eastAsia="zh-CN" w:bidi="ar-SA"/>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lang w:val="en-US" w:eastAsia="zh-CN"/>
                <w14:textFill>
                  <w14:solidFill>
                    <w14:schemeClr w14:val="tx1"/>
                  </w14:solidFill>
                </w14:textFill>
              </w:rPr>
              <w:t>熟悉生长激素激发试验检测</w:t>
            </w:r>
          </w:p>
          <w:p>
            <w:pPr>
              <w:keepNext w:val="0"/>
              <w:keepLines w:val="0"/>
              <w:widowControl/>
              <w:numPr>
                <w:ilvl w:val="0"/>
                <w:numId w:val="1"/>
              </w:numPr>
              <w:suppressLineNumbers w:val="0"/>
              <w:jc w:val="left"/>
              <w:textAlignment w:val="center"/>
              <w:rPr>
                <w:rFonts w:hint="eastAsia" w:asciiTheme="minorEastAsia" w:hAnsiTheme="minorEastAsia" w:eastAsiaTheme="minorEastAsia" w:cstheme="minorEastAsia"/>
                <w:i w:val="0"/>
                <w:iCs w:val="0"/>
                <w:color w:val="000000" w:themeColor="text1"/>
                <w:kern w:val="2"/>
                <w:sz w:val="22"/>
                <w:szCs w:val="22"/>
                <w:u w:val="none"/>
                <w:lang w:val="en-US" w:eastAsia="zh-CN" w:bidi="ar-SA"/>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lang w:eastAsia="zh-CN"/>
                <w14:textFill>
                  <w14:solidFill>
                    <w14:schemeClr w14:val="tx1"/>
                  </w14:solidFill>
                </w14:textFill>
              </w:rPr>
              <w:t>熟悉孤独症筛查量表的使用</w:t>
            </w:r>
          </w:p>
          <w:p>
            <w:pPr>
              <w:keepNext w:val="0"/>
              <w:keepLines w:val="0"/>
              <w:widowControl/>
              <w:numPr>
                <w:ilvl w:val="0"/>
                <w:numId w:val="1"/>
              </w:numPr>
              <w:suppressLineNumbers w:val="0"/>
              <w:jc w:val="left"/>
              <w:textAlignment w:val="center"/>
              <w:rPr>
                <w:rFonts w:hint="eastAsia" w:asciiTheme="minorEastAsia" w:hAnsiTheme="minorEastAsia" w:eastAsiaTheme="minorEastAsia" w:cstheme="minorEastAsia"/>
                <w:i w:val="0"/>
                <w:iCs w:val="0"/>
                <w:color w:val="000000" w:themeColor="text1"/>
                <w:kern w:val="2"/>
                <w:sz w:val="22"/>
                <w:szCs w:val="22"/>
                <w:u w:val="none"/>
                <w:lang w:val="en-US" w:eastAsia="zh-CN" w:bidi="ar-SA"/>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lang w:eastAsia="zh-CN"/>
                <w14:textFill>
                  <w14:solidFill>
                    <w14:schemeClr w14:val="tx1"/>
                  </w14:solidFill>
                </w14:textFill>
              </w:rPr>
              <w:t>掌握常用心理行为发育量表</w:t>
            </w:r>
          </w:p>
          <w:p>
            <w:pPr>
              <w:keepNext w:val="0"/>
              <w:keepLines w:val="0"/>
              <w:widowControl/>
              <w:numPr>
                <w:ilvl w:val="0"/>
                <w:numId w:val="1"/>
              </w:numPr>
              <w:suppressLineNumbers w:val="0"/>
              <w:jc w:val="left"/>
              <w:textAlignment w:val="center"/>
              <w:rPr>
                <w:rFonts w:hint="eastAsia" w:asciiTheme="minorEastAsia" w:hAnsiTheme="minorEastAsia" w:eastAsiaTheme="minorEastAsia" w:cstheme="minorEastAsia"/>
                <w:i w:val="0"/>
                <w:iCs w:val="0"/>
                <w:color w:val="000000" w:themeColor="text1"/>
                <w:kern w:val="2"/>
                <w:sz w:val="22"/>
                <w:szCs w:val="22"/>
                <w:u w:val="none"/>
                <w:lang w:val="en-US" w:eastAsia="zh-CN" w:bidi="ar-SA"/>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lang w:val="en-US" w:eastAsia="zh-CN"/>
                <w14:textFill>
                  <w14:solidFill>
                    <w14:schemeClr w14:val="tx1"/>
                  </w14:solidFill>
                </w14:textFill>
              </w:rPr>
              <w:t>掌握0-3岁语言发育筛查量表9.</w:t>
            </w:r>
            <w:r>
              <w:rPr>
                <w:rFonts w:hint="eastAsia" w:asciiTheme="minorEastAsia" w:hAnsiTheme="minorEastAsia" w:eastAsiaTheme="minorEastAsia" w:cstheme="minorEastAsia"/>
                <w:i w:val="0"/>
                <w:iCs w:val="0"/>
                <w:color w:val="000000" w:themeColor="text1"/>
                <w:sz w:val="22"/>
                <w:szCs w:val="22"/>
                <w:u w:val="none"/>
                <w:lang w:eastAsia="zh-CN"/>
                <w14:textFill>
                  <w14:solidFill>
                    <w14:schemeClr w14:val="tx1"/>
                  </w14:solidFill>
                </w14:textFill>
              </w:rPr>
              <w:t>熟悉注意力缺陷多动障碍的理论概述及临床表现</w:t>
            </w:r>
          </w:p>
          <w:p>
            <w:pPr>
              <w:keepNext w:val="0"/>
              <w:keepLines w:val="0"/>
              <w:widowControl/>
              <w:numPr>
                <w:ilvl w:val="0"/>
                <w:numId w:val="0"/>
              </w:numPr>
              <w:suppressLineNumbers w:val="0"/>
              <w:jc w:val="left"/>
              <w:textAlignment w:val="center"/>
              <w:rPr>
                <w:rFonts w:hint="default" w:ascii="宋体" w:hAnsi="宋体" w:eastAsia="宋体" w:cs="宋体"/>
                <w:i w:val="0"/>
                <w:iCs w:val="0"/>
                <w:color w:val="000000" w:themeColor="text1"/>
                <w:kern w:val="2"/>
                <w:sz w:val="22"/>
                <w:szCs w:val="22"/>
                <w:u w:val="none"/>
                <w:lang w:val="en-US" w:eastAsia="zh-CN" w:bidi="ar-SA"/>
                <w14:textFill>
                  <w14:solidFill>
                    <w14:schemeClr w14:val="tx1"/>
                  </w14:solidFill>
                </w14:textFill>
              </w:rPr>
            </w:pPr>
            <w:r>
              <w:rPr>
                <w:rFonts w:hint="eastAsia" w:asciiTheme="minorEastAsia" w:hAnsiTheme="minorEastAsia" w:eastAsiaTheme="minorEastAsia" w:cstheme="minorEastAsia"/>
                <w:i w:val="0"/>
                <w:iCs w:val="0"/>
                <w:color w:val="000000" w:themeColor="text1"/>
                <w:sz w:val="22"/>
                <w:szCs w:val="22"/>
                <w:u w:val="none"/>
                <w:lang w:val="en-US" w:eastAsia="zh-CN"/>
                <w14:textFill>
                  <w14:solidFill>
                    <w14:schemeClr w14:val="tx1"/>
                  </w14:solidFill>
                </w14:textFill>
              </w:rPr>
              <w:t>10.熟悉0-6岁儿童神经心理发育检测</w:t>
            </w:r>
          </w:p>
        </w:tc>
        <w:tc>
          <w:tcPr>
            <w:tcW w:w="3459" w:type="dxa"/>
            <w:shd w:val="clear" w:color="auto" w:fill="auto"/>
            <w:vAlign w:val="center"/>
          </w:tcPr>
          <w:p>
            <w:pPr>
              <w:jc w:val="left"/>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重点注重理论与操作结合，在讲授与示教的同时，让学员掌握</w:t>
            </w:r>
          </w:p>
          <w:p>
            <w:pPr>
              <w:jc w:val="left"/>
              <w:rPr>
                <w:rFonts w:hint="default" w:asciiTheme="minorEastAsia" w:hAnsiTheme="minorEastAsia" w:eastAsiaTheme="minorEastAsia" w:cstheme="minorEastAsia"/>
                <w:b w:val="0"/>
                <w:bCs w:val="0"/>
                <w:lang w:val="en-US" w:eastAsia="zh-CN"/>
              </w:rPr>
            </w:pPr>
            <w:r>
              <w:rPr>
                <w:rFonts w:hint="eastAsia" w:asciiTheme="minorEastAsia" w:hAnsiTheme="minorEastAsia" w:cstheme="minorEastAsia"/>
                <w:b w:val="0"/>
                <w:bCs w:val="0"/>
                <w:lang w:val="en-US" w:eastAsia="zh-CN"/>
              </w:rPr>
              <w:t>1.诊疗过程中标准预防的正确使用</w:t>
            </w:r>
          </w:p>
          <w:p>
            <w:pPr>
              <w:numPr>
                <w:ilvl w:val="0"/>
                <w:numId w:val="0"/>
              </w:numPr>
              <w:jc w:val="left"/>
              <w:rPr>
                <w:rFonts w:hint="eastAsia" w:asciiTheme="minorEastAsia" w:hAnsiTheme="minorEastAsia" w:eastAsiaTheme="minorEastAsia" w:cstheme="minorEastAsia"/>
                <w:b w:val="0"/>
                <w:bCs w:val="0"/>
                <w:lang w:val="en-US" w:eastAsia="zh-CN"/>
              </w:rPr>
            </w:pPr>
            <w:r>
              <w:rPr>
                <w:rFonts w:hint="eastAsia" w:asciiTheme="minorEastAsia" w:hAnsiTheme="minorEastAsia" w:cstheme="minorEastAsia"/>
                <w:b w:val="0"/>
                <w:bCs w:val="0"/>
                <w:lang w:val="en-US" w:eastAsia="zh-CN"/>
              </w:rPr>
              <w:t>2.</w:t>
            </w:r>
            <w:r>
              <w:rPr>
                <w:rFonts w:hint="eastAsia" w:asciiTheme="minorEastAsia" w:hAnsiTheme="minorEastAsia" w:eastAsiaTheme="minorEastAsia" w:cstheme="minorEastAsia"/>
                <w:b w:val="0"/>
                <w:bCs w:val="0"/>
                <w:lang w:val="en-US" w:eastAsia="zh-CN"/>
              </w:rPr>
              <w:t>体格测量与评价方法</w:t>
            </w:r>
          </w:p>
          <w:p>
            <w:pPr>
              <w:jc w:val="left"/>
              <w:rPr>
                <w:rFonts w:hint="eastAsia" w:ascii="宋体" w:hAnsi="宋体" w:cs="宋体"/>
                <w:i w:val="0"/>
                <w:iCs w:val="0"/>
                <w:color w:val="000000" w:themeColor="text1"/>
                <w:sz w:val="22"/>
                <w:szCs w:val="22"/>
                <w:u w:val="none"/>
                <w:lang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3.</w:t>
            </w:r>
            <w:r>
              <w:rPr>
                <w:rFonts w:hint="eastAsia" w:ascii="宋体" w:hAnsi="宋体" w:cs="宋体"/>
                <w:i w:val="0"/>
                <w:iCs w:val="0"/>
                <w:color w:val="000000" w:themeColor="text1"/>
                <w:sz w:val="22"/>
                <w:szCs w:val="22"/>
                <w:u w:val="none"/>
                <w:lang w:eastAsia="zh-CN"/>
                <w14:textFill>
                  <w14:solidFill>
                    <w14:schemeClr w14:val="tx1"/>
                  </w14:solidFill>
                </w14:textFill>
              </w:rPr>
              <w:t>婴幼儿屈光度筛查的原理及筛查异常结果的处理</w:t>
            </w:r>
          </w:p>
          <w:p>
            <w:pPr>
              <w:jc w:val="left"/>
              <w:rPr>
                <w:rFonts w:hint="eastAsia" w:ascii="宋体" w:hAnsi="宋体" w:cs="宋体"/>
                <w:i w:val="0"/>
                <w:iCs w:val="0"/>
                <w:color w:val="000000" w:themeColor="text1"/>
                <w:sz w:val="22"/>
                <w:szCs w:val="22"/>
                <w:u w:val="none"/>
                <w:lang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4.</w:t>
            </w:r>
            <w:r>
              <w:rPr>
                <w:rFonts w:hint="eastAsia" w:ascii="宋体" w:hAnsi="宋体" w:cs="宋体"/>
                <w:i w:val="0"/>
                <w:iCs w:val="0"/>
                <w:color w:val="000000" w:themeColor="text1"/>
                <w:sz w:val="22"/>
                <w:szCs w:val="22"/>
                <w:u w:val="none"/>
                <w:lang w:eastAsia="zh-CN"/>
                <w14:textFill>
                  <w14:solidFill>
                    <w14:schemeClr w14:val="tx1"/>
                  </w14:solidFill>
                </w14:textFill>
              </w:rPr>
              <w:t>熟悉骨密度检测技术</w:t>
            </w:r>
          </w:p>
          <w:p>
            <w:pPr>
              <w:jc w:val="left"/>
              <w:rPr>
                <w:rFonts w:hint="eastAsia" w:ascii="宋体" w:hAnsi="宋体" w:cs="宋体"/>
                <w:i w:val="0"/>
                <w:iCs w:val="0"/>
                <w:color w:val="000000" w:themeColor="text1"/>
                <w:sz w:val="22"/>
                <w:szCs w:val="22"/>
                <w:u w:val="none"/>
                <w:lang w:val="en-US"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5.</w:t>
            </w:r>
            <w:r>
              <w:rPr>
                <w:rFonts w:hint="eastAsia" w:ascii="宋体" w:hAnsi="宋体" w:cs="宋体"/>
                <w:i w:val="0"/>
                <w:iCs w:val="0"/>
                <w:color w:val="000000" w:themeColor="text1"/>
                <w:sz w:val="22"/>
                <w:szCs w:val="22"/>
                <w:u w:val="none"/>
                <w:lang w:eastAsia="zh-CN"/>
                <w14:textFill>
                  <w14:solidFill>
                    <w14:schemeClr w14:val="tx1"/>
                  </w14:solidFill>
                </w14:textFill>
              </w:rPr>
              <w:t>熟悉生长激素缺乏症</w:t>
            </w:r>
            <w:r>
              <w:rPr>
                <w:rFonts w:hint="eastAsia" w:ascii="宋体" w:hAnsi="宋体" w:cs="宋体"/>
                <w:i w:val="0"/>
                <w:iCs w:val="0"/>
                <w:color w:val="000000" w:themeColor="text1"/>
                <w:sz w:val="22"/>
                <w:szCs w:val="22"/>
                <w:u w:val="none"/>
                <w:lang w:val="en-US" w:eastAsia="zh-CN"/>
                <w14:textFill>
                  <w14:solidFill>
                    <w14:schemeClr w14:val="tx1"/>
                  </w14:solidFill>
                </w14:textFill>
              </w:rPr>
              <w:t>的相关理论知识</w:t>
            </w:r>
          </w:p>
          <w:p>
            <w:pPr>
              <w:jc w:val="left"/>
              <w:rPr>
                <w:rFonts w:hint="eastAsia" w:ascii="宋体" w:hAnsi="宋体" w:cs="宋体"/>
                <w:i w:val="0"/>
                <w:iCs w:val="0"/>
                <w:color w:val="000000" w:themeColor="text1"/>
                <w:sz w:val="22"/>
                <w:szCs w:val="22"/>
                <w:u w:val="none"/>
                <w:lang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6.</w:t>
            </w:r>
            <w:r>
              <w:rPr>
                <w:rFonts w:hint="eastAsia" w:ascii="宋体" w:hAnsi="宋体" w:cs="宋体"/>
                <w:i w:val="0"/>
                <w:iCs w:val="0"/>
                <w:color w:val="000000" w:themeColor="text1"/>
                <w:sz w:val="22"/>
                <w:szCs w:val="22"/>
                <w:u w:val="none"/>
                <w:lang w:eastAsia="zh-CN"/>
                <w14:textFill>
                  <w14:solidFill>
                    <w14:schemeClr w14:val="tx1"/>
                  </w14:solidFill>
                </w14:textFill>
              </w:rPr>
              <w:t>熟悉孤独症筛查技术</w:t>
            </w:r>
          </w:p>
          <w:p>
            <w:pPr>
              <w:jc w:val="left"/>
              <w:rPr>
                <w:rFonts w:hint="eastAsia" w:ascii="宋体" w:hAnsi="宋体" w:cs="宋体"/>
                <w:i w:val="0"/>
                <w:iCs w:val="0"/>
                <w:color w:val="000000" w:themeColor="text1"/>
                <w:sz w:val="22"/>
                <w:szCs w:val="22"/>
                <w:u w:val="none"/>
                <w:lang w:val="en-US"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7.丹佛智能发育筛查量表的使用</w:t>
            </w:r>
          </w:p>
          <w:p>
            <w:pPr>
              <w:jc w:val="left"/>
              <w:rPr>
                <w:rFonts w:hint="eastAsia" w:ascii="宋体" w:hAnsi="宋体" w:cs="宋体"/>
                <w:i w:val="0"/>
                <w:iCs w:val="0"/>
                <w:color w:val="000000" w:themeColor="text1"/>
                <w:sz w:val="22"/>
                <w:szCs w:val="22"/>
                <w:u w:val="none"/>
                <w:lang w:val="en-US"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8.</w:t>
            </w:r>
            <w:r>
              <w:rPr>
                <w:rFonts w:hint="eastAsia" w:ascii="宋体" w:hAnsi="宋体" w:cs="宋体"/>
                <w:i w:val="0"/>
                <w:iCs w:val="0"/>
                <w:color w:val="000000" w:themeColor="text1"/>
                <w:sz w:val="22"/>
                <w:szCs w:val="22"/>
                <w:u w:val="none"/>
                <w:lang w:eastAsia="zh-CN"/>
                <w14:textFill>
                  <w14:solidFill>
                    <w14:schemeClr w14:val="tx1"/>
                  </w14:solidFill>
                </w14:textFill>
              </w:rPr>
              <w:t>掌握</w:t>
            </w:r>
            <w:r>
              <w:rPr>
                <w:rFonts w:hint="eastAsia" w:ascii="宋体" w:hAnsi="宋体" w:cs="宋体"/>
                <w:i w:val="0"/>
                <w:iCs w:val="0"/>
                <w:color w:val="000000" w:themeColor="text1"/>
                <w:sz w:val="22"/>
                <w:szCs w:val="22"/>
                <w:u w:val="none"/>
                <w:lang w:val="en-US" w:eastAsia="zh-CN"/>
                <w14:textFill>
                  <w14:solidFill>
                    <w14:schemeClr w14:val="tx1"/>
                  </w14:solidFill>
                </w14:textFill>
              </w:rPr>
              <w:t>0-3岁婴幼儿</w:t>
            </w:r>
            <w:r>
              <w:rPr>
                <w:rFonts w:hint="eastAsia" w:ascii="宋体" w:hAnsi="宋体" w:cs="宋体"/>
                <w:i w:val="0"/>
                <w:iCs w:val="0"/>
                <w:color w:val="000000" w:themeColor="text1"/>
                <w:sz w:val="22"/>
                <w:szCs w:val="22"/>
                <w:u w:val="none"/>
                <w:lang w:eastAsia="zh-CN"/>
                <w14:textFill>
                  <w14:solidFill>
                    <w14:schemeClr w14:val="tx1"/>
                  </w14:solidFill>
                </w14:textFill>
              </w:rPr>
              <w:t>语言发育</w:t>
            </w:r>
            <w:r>
              <w:rPr>
                <w:rFonts w:hint="eastAsia" w:ascii="宋体" w:hAnsi="宋体" w:cs="宋体"/>
                <w:i w:val="0"/>
                <w:iCs w:val="0"/>
                <w:color w:val="000000" w:themeColor="text1"/>
                <w:sz w:val="22"/>
                <w:szCs w:val="22"/>
                <w:u w:val="none"/>
                <w:lang w:val="en-US" w:eastAsia="zh-CN"/>
                <w14:textFill>
                  <w14:solidFill>
                    <w14:schemeClr w14:val="tx1"/>
                  </w14:solidFill>
                </w14:textFill>
              </w:rPr>
              <w:t>进程</w:t>
            </w:r>
          </w:p>
          <w:p>
            <w:pPr>
              <w:jc w:val="left"/>
              <w:rPr>
                <w:rFonts w:hint="eastAsia" w:ascii="宋体" w:hAnsi="宋体" w:cs="宋体"/>
                <w:i w:val="0"/>
                <w:iCs w:val="0"/>
                <w:color w:val="000000" w:themeColor="text1"/>
                <w:sz w:val="22"/>
                <w:szCs w:val="22"/>
                <w:u w:val="none"/>
                <w:lang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9熟悉</w:t>
            </w:r>
            <w:r>
              <w:rPr>
                <w:rFonts w:hint="eastAsia" w:ascii="宋体" w:hAnsi="宋体" w:cs="宋体"/>
                <w:i w:val="0"/>
                <w:iCs w:val="0"/>
                <w:color w:val="000000" w:themeColor="text1"/>
                <w:sz w:val="22"/>
                <w:szCs w:val="22"/>
                <w:u w:val="none"/>
                <w:lang w:eastAsia="zh-CN"/>
                <w14:textFill>
                  <w14:solidFill>
                    <w14:schemeClr w14:val="tx1"/>
                  </w14:solidFill>
                </w14:textFill>
              </w:rPr>
              <w:t>脑电生物反馈仪的使用</w:t>
            </w:r>
          </w:p>
          <w:p>
            <w:pPr>
              <w:jc w:val="left"/>
              <w:rPr>
                <w:rFonts w:hint="default" w:ascii="宋体" w:hAnsi="宋体" w:cs="宋体"/>
                <w:i w:val="0"/>
                <w:iCs w:val="0"/>
                <w:color w:val="000000" w:themeColor="text1"/>
                <w:sz w:val="22"/>
                <w:szCs w:val="22"/>
                <w:u w:val="none"/>
                <w:lang w:val="en-US"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10掌握0-6岁儿童神经心理发育检测量表的使用</w:t>
            </w:r>
          </w:p>
          <w:p>
            <w:pPr>
              <w:jc w:val="center"/>
              <w:rPr>
                <w:rFonts w:hint="default"/>
                <w:b w:val="0"/>
                <w:bCs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trPr>
        <w:tc>
          <w:tcPr>
            <w:tcW w:w="1605" w:type="dxa"/>
            <w:vAlign w:val="center"/>
          </w:tcPr>
          <w:p>
            <w:pPr>
              <w:rPr>
                <w:color w:val="7F7F7F" w:themeColor="background1" w:themeShade="80"/>
              </w:rPr>
            </w:pPr>
            <w:r>
              <w:rPr>
                <w:rFonts w:hint="eastAsia"/>
                <w:b/>
                <w:bCs/>
              </w:rPr>
              <w:t>教学目标</w:t>
            </w:r>
          </w:p>
        </w:tc>
        <w:tc>
          <w:tcPr>
            <w:tcW w:w="6917" w:type="dxa"/>
            <w:gridSpan w:val="2"/>
            <w:shd w:val="clear" w:color="auto" w:fill="auto"/>
            <w:vAlign w:val="center"/>
          </w:tcPr>
          <w:p>
            <w:pPr>
              <w:keepNext w:val="0"/>
              <w:keepLines w:val="0"/>
              <w:widowControl/>
              <w:suppressLineNumbers w:val="0"/>
              <w:ind w:firstLine="440" w:firstLineChars="200"/>
              <w:jc w:val="left"/>
              <w:textAlignment w:val="center"/>
              <w:rPr>
                <w:rFonts w:hint="default" w:ascii="宋体" w:hAnsi="宋体" w:eastAsia="宋体" w:cs="宋体"/>
                <w:i w:val="0"/>
                <w:iCs w:val="0"/>
                <w:color w:val="000000" w:themeColor="text1"/>
                <w:kern w:val="2"/>
                <w:sz w:val="22"/>
                <w:szCs w:val="22"/>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2"/>
                <w:sz w:val="22"/>
                <w:szCs w:val="22"/>
                <w:u w:val="none"/>
                <w:lang w:val="en-US" w:eastAsia="zh-CN" w:bidi="ar-SA"/>
                <w14:textFill>
                  <w14:solidFill>
                    <w14:schemeClr w14:val="tx1"/>
                  </w14:solidFill>
                </w14:textFill>
              </w:rPr>
              <w:t>按照课程设置内容，带教老师采取随时口头提问，随机考核，出科前理论结合操作考核的方式，让学员掌握儿童生发育、儿童喂养、屈光度筛查、心理行为发育量表、语言发育筛查量表的使用，熟悉骨密度测定仪、孤独症筛查量表的使用、生长激素激发试验的检测、儿童神经心理发育量表的检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trPr>
        <w:tc>
          <w:tcPr>
            <w:tcW w:w="1605" w:type="dxa"/>
            <w:vAlign w:val="center"/>
          </w:tcPr>
          <w:p>
            <w:pPr>
              <w:jc w:val="left"/>
              <w:rPr>
                <w:b/>
                <w:bCs/>
              </w:rPr>
            </w:pPr>
            <w:r>
              <w:rPr>
                <w:rFonts w:hint="eastAsia"/>
                <w:b/>
                <w:bCs/>
              </w:rPr>
              <w:t>其他说明</w:t>
            </w:r>
          </w:p>
        </w:tc>
        <w:tc>
          <w:tcPr>
            <w:tcW w:w="6917" w:type="dxa"/>
            <w:gridSpan w:val="2"/>
            <w:vAlign w:val="center"/>
          </w:tcPr>
          <w:p>
            <w:pPr>
              <w:pStyle w:val="2"/>
              <w:spacing w:after="0" w:line="360" w:lineRule="auto"/>
              <w:ind w:firstLine="420" w:firstLineChars="200"/>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1"/>
                <w:szCs w:val="21"/>
                <w:lang w:val="en-US" w:eastAsia="zh-CN"/>
              </w:rPr>
              <w:t>每一个亚专业进修至少3个月，以此类推</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9755F"/>
    <w:multiLevelType w:val="singleLevel"/>
    <w:tmpl w:val="8069755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351"/>
    <w:rsid w:val="002B6477"/>
    <w:rsid w:val="00426236"/>
    <w:rsid w:val="004278B1"/>
    <w:rsid w:val="004D1268"/>
    <w:rsid w:val="007564D6"/>
    <w:rsid w:val="00996A33"/>
    <w:rsid w:val="00BB7351"/>
    <w:rsid w:val="00BF1398"/>
    <w:rsid w:val="00C1611C"/>
    <w:rsid w:val="00C21388"/>
    <w:rsid w:val="00D528FD"/>
    <w:rsid w:val="00E86CA1"/>
    <w:rsid w:val="00FF4C2B"/>
    <w:rsid w:val="01422176"/>
    <w:rsid w:val="015B3238"/>
    <w:rsid w:val="01BD616A"/>
    <w:rsid w:val="02151639"/>
    <w:rsid w:val="0328539C"/>
    <w:rsid w:val="03343D40"/>
    <w:rsid w:val="037107E0"/>
    <w:rsid w:val="03875EC9"/>
    <w:rsid w:val="03DB0660"/>
    <w:rsid w:val="04C9670A"/>
    <w:rsid w:val="0511564D"/>
    <w:rsid w:val="05593CCD"/>
    <w:rsid w:val="0566562E"/>
    <w:rsid w:val="059A3C03"/>
    <w:rsid w:val="05C375FE"/>
    <w:rsid w:val="063B3638"/>
    <w:rsid w:val="075C73C2"/>
    <w:rsid w:val="07F608C5"/>
    <w:rsid w:val="08CB0CA3"/>
    <w:rsid w:val="096B4234"/>
    <w:rsid w:val="09945539"/>
    <w:rsid w:val="09D5345C"/>
    <w:rsid w:val="0A410AF1"/>
    <w:rsid w:val="0A430D0D"/>
    <w:rsid w:val="0A454A85"/>
    <w:rsid w:val="0B226B74"/>
    <w:rsid w:val="0B354D08"/>
    <w:rsid w:val="0B8E7D66"/>
    <w:rsid w:val="0C4F74F5"/>
    <w:rsid w:val="0D927FE1"/>
    <w:rsid w:val="0DF02F5A"/>
    <w:rsid w:val="0E666D78"/>
    <w:rsid w:val="0E71409B"/>
    <w:rsid w:val="0F476BAA"/>
    <w:rsid w:val="0F6C4862"/>
    <w:rsid w:val="0FEF171B"/>
    <w:rsid w:val="10401F77"/>
    <w:rsid w:val="10795489"/>
    <w:rsid w:val="11D54941"/>
    <w:rsid w:val="11FA7F03"/>
    <w:rsid w:val="131E40C5"/>
    <w:rsid w:val="13C60364"/>
    <w:rsid w:val="13DA4490"/>
    <w:rsid w:val="14681A9C"/>
    <w:rsid w:val="146F2E2A"/>
    <w:rsid w:val="147D6BCA"/>
    <w:rsid w:val="15760944"/>
    <w:rsid w:val="163A66BD"/>
    <w:rsid w:val="164756E1"/>
    <w:rsid w:val="168D57EA"/>
    <w:rsid w:val="16FF7D6A"/>
    <w:rsid w:val="176E33DE"/>
    <w:rsid w:val="180C6BE2"/>
    <w:rsid w:val="18664544"/>
    <w:rsid w:val="18B0756E"/>
    <w:rsid w:val="1AA90718"/>
    <w:rsid w:val="1AC0431E"/>
    <w:rsid w:val="1B590390"/>
    <w:rsid w:val="1B593774"/>
    <w:rsid w:val="1C907DE2"/>
    <w:rsid w:val="1CB3762C"/>
    <w:rsid w:val="1E4C7D38"/>
    <w:rsid w:val="1EC10726"/>
    <w:rsid w:val="1EE14925"/>
    <w:rsid w:val="1EF74148"/>
    <w:rsid w:val="1FCF6E73"/>
    <w:rsid w:val="20B16579"/>
    <w:rsid w:val="21354AB4"/>
    <w:rsid w:val="21A63C04"/>
    <w:rsid w:val="23294AEC"/>
    <w:rsid w:val="2366189C"/>
    <w:rsid w:val="237C2224"/>
    <w:rsid w:val="23A777BF"/>
    <w:rsid w:val="24877D1C"/>
    <w:rsid w:val="254C061E"/>
    <w:rsid w:val="256E2C8A"/>
    <w:rsid w:val="258E6E89"/>
    <w:rsid w:val="25960BBC"/>
    <w:rsid w:val="27041EA4"/>
    <w:rsid w:val="272F6449"/>
    <w:rsid w:val="27B34984"/>
    <w:rsid w:val="28305FD5"/>
    <w:rsid w:val="28520641"/>
    <w:rsid w:val="28986222"/>
    <w:rsid w:val="28B5472C"/>
    <w:rsid w:val="28EC760A"/>
    <w:rsid w:val="291B4ED7"/>
    <w:rsid w:val="299F78B6"/>
    <w:rsid w:val="2AB63109"/>
    <w:rsid w:val="2CB90C8F"/>
    <w:rsid w:val="2DDB69E3"/>
    <w:rsid w:val="2E933762"/>
    <w:rsid w:val="2F067A90"/>
    <w:rsid w:val="2F351A2F"/>
    <w:rsid w:val="2F666780"/>
    <w:rsid w:val="2FE36023"/>
    <w:rsid w:val="304545E8"/>
    <w:rsid w:val="30EB1633"/>
    <w:rsid w:val="31A16195"/>
    <w:rsid w:val="31F664E1"/>
    <w:rsid w:val="32D9327A"/>
    <w:rsid w:val="335F00B6"/>
    <w:rsid w:val="336456CD"/>
    <w:rsid w:val="339064C2"/>
    <w:rsid w:val="33B45D0C"/>
    <w:rsid w:val="33FF585B"/>
    <w:rsid w:val="340C3D9A"/>
    <w:rsid w:val="349618B6"/>
    <w:rsid w:val="34F0546A"/>
    <w:rsid w:val="35942299"/>
    <w:rsid w:val="35AA386B"/>
    <w:rsid w:val="35B20971"/>
    <w:rsid w:val="35BA0AF5"/>
    <w:rsid w:val="364C2B74"/>
    <w:rsid w:val="372B09DB"/>
    <w:rsid w:val="388A7983"/>
    <w:rsid w:val="38FB262F"/>
    <w:rsid w:val="39111E53"/>
    <w:rsid w:val="39194863"/>
    <w:rsid w:val="395F2BBE"/>
    <w:rsid w:val="397370D1"/>
    <w:rsid w:val="3A0F6392"/>
    <w:rsid w:val="3A2B0CF2"/>
    <w:rsid w:val="3ABE1B66"/>
    <w:rsid w:val="3BC9431F"/>
    <w:rsid w:val="3C674EB4"/>
    <w:rsid w:val="3C8F37BA"/>
    <w:rsid w:val="3DCB6A74"/>
    <w:rsid w:val="40104C12"/>
    <w:rsid w:val="409C46F8"/>
    <w:rsid w:val="41586871"/>
    <w:rsid w:val="41CC4B69"/>
    <w:rsid w:val="41DF2AEE"/>
    <w:rsid w:val="41F83BB0"/>
    <w:rsid w:val="42165DE4"/>
    <w:rsid w:val="425828A0"/>
    <w:rsid w:val="42750D5C"/>
    <w:rsid w:val="453E18DA"/>
    <w:rsid w:val="459050A5"/>
    <w:rsid w:val="45C8181C"/>
    <w:rsid w:val="45D16BF2"/>
    <w:rsid w:val="46E82445"/>
    <w:rsid w:val="475573AE"/>
    <w:rsid w:val="477738A5"/>
    <w:rsid w:val="49796EA3"/>
    <w:rsid w:val="49AD34D2"/>
    <w:rsid w:val="4A655B5A"/>
    <w:rsid w:val="4A91762E"/>
    <w:rsid w:val="4B090BDC"/>
    <w:rsid w:val="4C481290"/>
    <w:rsid w:val="4CE7337C"/>
    <w:rsid w:val="4CF11927"/>
    <w:rsid w:val="4D2F41FE"/>
    <w:rsid w:val="4D665E71"/>
    <w:rsid w:val="4EE47996"/>
    <w:rsid w:val="50B769E4"/>
    <w:rsid w:val="5151508A"/>
    <w:rsid w:val="52354064"/>
    <w:rsid w:val="52D95337"/>
    <w:rsid w:val="53095C1D"/>
    <w:rsid w:val="53566988"/>
    <w:rsid w:val="554F7B33"/>
    <w:rsid w:val="56412C14"/>
    <w:rsid w:val="56B75990"/>
    <w:rsid w:val="56C87B9D"/>
    <w:rsid w:val="56E66E44"/>
    <w:rsid w:val="574511ED"/>
    <w:rsid w:val="5846521D"/>
    <w:rsid w:val="590B1FC3"/>
    <w:rsid w:val="5A366BCB"/>
    <w:rsid w:val="5BD963A8"/>
    <w:rsid w:val="5C5B500F"/>
    <w:rsid w:val="5DBE13B2"/>
    <w:rsid w:val="5F4E7775"/>
    <w:rsid w:val="60695F4D"/>
    <w:rsid w:val="60F021CA"/>
    <w:rsid w:val="60F77215"/>
    <w:rsid w:val="618648DC"/>
    <w:rsid w:val="61C13B66"/>
    <w:rsid w:val="6450285A"/>
    <w:rsid w:val="64D12312"/>
    <w:rsid w:val="676E209B"/>
    <w:rsid w:val="67B81568"/>
    <w:rsid w:val="68684D3C"/>
    <w:rsid w:val="695A0B28"/>
    <w:rsid w:val="698C707D"/>
    <w:rsid w:val="69E14DA6"/>
    <w:rsid w:val="6A022F6E"/>
    <w:rsid w:val="6A042842"/>
    <w:rsid w:val="6A1707C7"/>
    <w:rsid w:val="6A3B3D8A"/>
    <w:rsid w:val="6A7774B8"/>
    <w:rsid w:val="6A94006A"/>
    <w:rsid w:val="6CBA7B30"/>
    <w:rsid w:val="6CE95D1F"/>
    <w:rsid w:val="6DAA1953"/>
    <w:rsid w:val="6E241705"/>
    <w:rsid w:val="6E6E2980"/>
    <w:rsid w:val="6E881C94"/>
    <w:rsid w:val="6EA97E5C"/>
    <w:rsid w:val="6EC30F1E"/>
    <w:rsid w:val="6EDF562C"/>
    <w:rsid w:val="6F285225"/>
    <w:rsid w:val="6FB22D40"/>
    <w:rsid w:val="70C525FF"/>
    <w:rsid w:val="71015D2D"/>
    <w:rsid w:val="722241AD"/>
    <w:rsid w:val="73FC0A2E"/>
    <w:rsid w:val="74055B35"/>
    <w:rsid w:val="74237D69"/>
    <w:rsid w:val="74463A57"/>
    <w:rsid w:val="75CA34C7"/>
    <w:rsid w:val="75F91D1B"/>
    <w:rsid w:val="75FE6CDF"/>
    <w:rsid w:val="76432944"/>
    <w:rsid w:val="766C1E28"/>
    <w:rsid w:val="77190713"/>
    <w:rsid w:val="774C5829"/>
    <w:rsid w:val="77555AF8"/>
    <w:rsid w:val="784B788E"/>
    <w:rsid w:val="7A2E1215"/>
    <w:rsid w:val="7B025CAD"/>
    <w:rsid w:val="7BFF1417"/>
    <w:rsid w:val="7CC3397C"/>
    <w:rsid w:val="7CEA1D6C"/>
    <w:rsid w:val="7D344D95"/>
    <w:rsid w:val="7D8555F0"/>
    <w:rsid w:val="7DC10D1E"/>
    <w:rsid w:val="7EB06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1225</Words>
  <Characters>1262</Characters>
  <Lines>9</Lines>
  <Paragraphs>2</Paragraphs>
  <TotalTime>1</TotalTime>
  <ScaleCrop>false</ScaleCrop>
  <LinksUpToDate>false</LinksUpToDate>
  <CharactersWithSpaces>1270</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2025-11-10T15:04:00Z</dcterms:created>
  <dc:creator>Administrator</dc:creator>
  <cp:lastModifiedBy>Juliana</cp:lastModifiedBy>
  <dcterms:modified xsi:type="dcterms:W3CDTF">2025-11-21T10:24:29Z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KSOTemplateDocerSaveRecord">
    <vt:lpwstr>eyJoZGlkIjoiMmQwMjRkZmVjNDE1ZThkNTQzYWFkODM1M2I5ZDdkNmMiLCJ1c2VySWQiOiIyMTk4MzYwMDMifQ==</vt:lpwstr>
  </property>
  <property fmtid="{D5CDD505-2E9C-101B-9397-08002B2CF9AE}" pid="4" name="ICV">
    <vt:lpwstr>851690B6EC96402886565D592777E0F5_12</vt:lpwstr>
  </property>
</Properties>
</file>